
<file path=[Content_Types].xml><?xml version="1.0" encoding="utf-8"?>
<Types xmlns="http://schemas.openxmlformats.org/package/2006/content-types">
  <Default Extension="jpeg" ContentType="image/jpeg"/>
  <Default Extension="JPG" ContentType="image/.jp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ascii="方正小标宋简体" w:hAnsi="方正小标宋简体" w:eastAsia="方正小标宋简体" w:cs="方正小标宋简体"/>
          <w:sz w:val="44"/>
          <w:szCs w:val="44"/>
          <w:lang w:val="en-US" w:eastAsia="zh-CN"/>
        </w:rPr>
      </w:pPr>
      <w:r>
        <w:rPr>
          <w:rFonts w:hint="eastAsia" w:ascii="方正小标宋简体" w:hAnsi="方正小标宋简体" w:eastAsia="方正小标宋简体" w:cs="方正小标宋简体"/>
          <w:sz w:val="44"/>
          <w:szCs w:val="44"/>
          <w:lang w:val="en-US" w:eastAsia="zh-CN"/>
        </w:rPr>
        <w:t>叶家坞水库防洪抢险应急预案</w:t>
      </w:r>
    </w:p>
    <w:p>
      <w:pPr>
        <w:spacing w:line="360" w:lineRule="auto"/>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1、总则</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1.1编制目的</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为了防治洪水，防御并减轻洪涝灾害，保障人民生命财产安全，减少水灾损失，减少水患，以及做好水库防洪工作，特编制叶家坞水库防洪抢险应急预案。</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1.2编制依据</w:t>
      </w:r>
    </w:p>
    <w:p>
      <w:pPr>
        <w:keepNext w:val="0"/>
        <w:keepLines w:val="0"/>
        <w:pageBreakBefore w:val="0"/>
        <w:widowControl w:val="0"/>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防洪抢险应急预案编制根据《中华人民共和国水法》、《中华人民共和国防洪法》及《中华人民共和国防汛条例》和江西省实施《中华人民共和国水法》办法与市、县防汛抗旱指挥部下达的文件精神为依据，现编制2024年叶家坞水库防洪抢险应急预案。</w:t>
      </w:r>
    </w:p>
    <w:p>
      <w:pPr>
        <w:numPr>
          <w:ilvl w:val="0"/>
          <w:numId w:val="1"/>
        </w:numPr>
        <w:spacing w:line="360" w:lineRule="auto"/>
        <w:ind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基本情况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2.1工程概况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位于浮梁镇茶培村，大坝坝址所处地理位置东经117°27’7.58”，北纬29°53’4995”，距浮梁镇政府所在地8KM，属饶河昌江支流。叶家坞水库始建于1978年10月，1979年4月竣工。总库容13.42万m³，主要建筑物由斜涵、大坝、平涵、溢洪道、值班房及监控设备组成。溢洪道位于水库左边，斜涵、平涵位于水库大坝左右，值班房位于水库脚下安全区，其他设备安装在水库大坝坝体上。水库主要以农田灌溉为主。</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叶家坞水库2014年列入疾险水库除险加固项目。并经过上级部门竣工验收，工程项目建设合格。</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叶家坞水库设施安全管理交由浮梁镇人民政府管理，运行管理由浮梁镇农业农村办负责管理，维修养护统一由县水利开发建设有限公司负责。水库管理2人，其中镇政府水利部门1人，村级水管员1人。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叶家坞水库经过2014年除险加固后无主要问题，目前存在的问题是由于强降雨上游漂浮杂物流向溢洪道及斜涵。发现有漂浮物有管理人员及时打捞。</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2.2防洪调度方式</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水库防洪调度主要是利用水库的调蓄作用和控泄能力有计划地调节洪水，主要有以下调度方式：</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固定泄洪调度，控制下泄流量。</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防洪预报调度。</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防洪与兴利联合调度。</w:t>
      </w:r>
    </w:p>
    <w:p>
      <w:pPr>
        <w:keepNext w:val="0"/>
        <w:keepLines w:val="0"/>
        <w:pageBreakBefore w:val="0"/>
        <w:widowControl w:val="0"/>
        <w:numPr>
          <w:ilvl w:val="0"/>
          <w:numId w:val="2"/>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水库工程安全防洪调度。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以上四种水库防洪调度根据雨情灵活多样进行水库防洪调度，确保水库安全运行。</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2.3历史险情及抢险情况</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1996年6月份水库未进行除险加固，大暴雨溢洪道水位高达0.3米。下游多处地带冲毁。2014年叶家坞水库除险加固后，多年来，溢洪道最高水位0.1米，防汛抢险人员及时疏通溢洪道杂物。</w:t>
      </w:r>
    </w:p>
    <w:p>
      <w:pPr>
        <w:numPr>
          <w:ilvl w:val="0"/>
          <w:numId w:val="1"/>
        </w:numPr>
        <w:spacing w:line="360" w:lineRule="auto"/>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应急保障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3.1组织保障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（一）加强水库组织保障措施，确保五个责任人到岗到位。</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1.行政责任人：任爱民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2.主管责任人：黄杰权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3.管理责任人：周发强   茶培村书记   13479839929</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4.技术责任人：余顺发   镇农业农村办主任（水利技术员）                                  13407988565</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5.巡查责任人：许世金   巡查员       13576415073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（二）叶家坞水库临时指挥部组成：</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（1）临时指挥部负责人：任爱民   浮梁镇镇长   13707982523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1.根据汛情，及时做出工作部署;</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2.协调解决水库大坝防洪安全管理的重大问题;</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3.组织防洪抢险和重大事件的应急处置;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4.负责向上级政府责任人报告重大事件。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成员：黄杰权   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1.监督指导水库开展防洪调度;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2.组织防汛安全检查;</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4.组织防汛知识和技能培训;</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5.负责向上级防汛部门报告重大事件。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余顺发   技术员   13407988565</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职责：</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2.指导防汛准备;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3.指导防洪调度;</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4.指导防洪抢险和重大事件的应急处置。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周发强   茶培村书记   13479839929</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1.组织制订水库防洪调度运用计划(度汛方案)及应急预案;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2.开展防汛安全检查,做好防汛准备;</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3.开展防洪抢险和重大事件的应急处置;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4.组织职工参加防汛知识培训;</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5.负责向防汛部门报告险情和重大事件。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许世金   巡查员       13576415073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1.执行水库防洪调度运用计划（度汛方案）及应急预案;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2.开展巡查、雨水情观测,做好记录;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3.按规定的要求进行报汛;</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4.参与防洪抢险和重大事件的应急处置;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5.负责向管理责任人报告险情和重大事件。</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3.2队伍保障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抢险队伍人员名单：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队长：黄杰权   浮梁镇党委委员   15807086793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成员：余顺发、付江江、方怡舟、吴伟、田慧军、周镇华、程容华、程云萍、程育才、齐文斌、程有根、范松友、余立璇、胡俊杰、杨文兴。</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3.3物资保障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叶家坞水库备有块石5方，沙石料5方，编织袋300条，木柱20根。存放在水库值班房及水库沙石料池内，管理员许世金，联系电话：13576415073.</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3.4其他保障</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叶家坞水库通信、交通、电力保障正常。汛前开展防洪巡查并进行演练。</w:t>
      </w:r>
    </w:p>
    <w:p>
      <w:pPr>
        <w:numPr>
          <w:ilvl w:val="0"/>
          <w:numId w:val="1"/>
        </w:numPr>
        <w:spacing w:line="360" w:lineRule="auto"/>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巡查与险情处置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4.1巡查与险情报告</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水库巡查包括水库坝体、坝基、斜涵、平涵、溢洪道及通信监控设备等设施有无渗漏、堵塞及设备损坏情况发生，采取现场检查察看方式巡查，做到主汛期每天巡查1次，后汛期每2天巡查1次，非主汛期7天巡查1次，并做好巡察记录。</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险情报告。如发现水库出现险情时向上级管理单位上报，同时并关注险情变化，保障信息畅通。</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4.2险情处理</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巡查人员发现险情后，立即报告水库直接责任人及行政责任人，应急抢险临时指挥部接到险情报告后，第一时间向下游预警，并制定水库险情处置方案，组织抢险队伍人员实施抢险。险情处置完成后，安排人员24小时值班监测。</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若险情威胁大坝安全，应立即向上级防汛指挥机构报告，请求支援，同时做好下游危险区人员转移安置准备工作，确保人员安全。</w:t>
      </w:r>
    </w:p>
    <w:p>
      <w:pPr>
        <w:numPr>
          <w:ilvl w:val="0"/>
          <w:numId w:val="1"/>
        </w:numPr>
        <w:spacing w:line="360" w:lineRule="auto"/>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超标准洪水与溃坝防御方案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5.1超标准洪水防御方案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水库在无超标准洪水时，把水位降至汛限水位以下，腾出库容，加强值班巡查，水库行政责任人、主管责任人、管理责任人、技术责任人、巡查责任人到岗到位，同时通知水库下游群众转移到安全区。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5.2溃坝洪水防御方案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当遇到溃坝失事防御方案</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当遇到水库溃坝时应采取应变措施：</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1.</w:t>
      </w:r>
      <w:r>
        <w:rPr>
          <w:rFonts w:hint="eastAsia" w:ascii="宋体" w:hAnsi="宋体" w:eastAsia="宋体" w:cs="宋体"/>
          <w:sz w:val="28"/>
          <w:szCs w:val="28"/>
          <w:lang w:val="en-US" w:eastAsia="zh-CN"/>
        </w:rPr>
        <w:t>降低溢洪道，加快洪水泄洪能力；</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2.</w:t>
      </w:r>
      <w:r>
        <w:rPr>
          <w:rFonts w:hint="eastAsia" w:ascii="宋体" w:hAnsi="宋体" w:eastAsia="宋体" w:cs="宋体"/>
          <w:sz w:val="28"/>
          <w:szCs w:val="28"/>
          <w:lang w:val="en-US" w:eastAsia="zh-CN"/>
        </w:rPr>
        <w:t>增加泄洪能力，快速泄洪；</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3.</w:t>
      </w:r>
      <w:r>
        <w:rPr>
          <w:rFonts w:hint="eastAsia" w:ascii="宋体" w:hAnsi="宋体" w:eastAsia="宋体" w:cs="宋体"/>
          <w:sz w:val="28"/>
          <w:szCs w:val="28"/>
          <w:lang w:val="en-US" w:eastAsia="zh-CN"/>
        </w:rPr>
        <w:t>及时通知下游人员安全转移到安全区；</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0"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kern w:val="2"/>
          <w:sz w:val="28"/>
          <w:szCs w:val="28"/>
          <w:lang w:val="en-US" w:eastAsia="zh-CN" w:bidi="ar-SA"/>
        </w:rPr>
        <w:t>4.</w:t>
      </w:r>
      <w:r>
        <w:rPr>
          <w:rFonts w:hint="eastAsia" w:ascii="宋体" w:hAnsi="宋体" w:eastAsia="宋体" w:cs="宋体"/>
          <w:sz w:val="28"/>
          <w:szCs w:val="28"/>
          <w:lang w:val="en-US" w:eastAsia="zh-CN"/>
        </w:rPr>
        <w:t>快速降低水库水位是应对超标准洪水的关键措施。</w:t>
      </w:r>
    </w:p>
    <w:p>
      <w:pPr>
        <w:numPr>
          <w:ilvl w:val="0"/>
          <w:numId w:val="1"/>
        </w:numPr>
        <w:spacing w:line="360" w:lineRule="auto"/>
        <w:ind w:left="0" w:leftChars="0" w:firstLine="562" w:firstLineChars="200"/>
        <w:jc w:val="both"/>
        <w:rPr>
          <w:rFonts w:hint="eastAsia" w:ascii="宋体" w:hAnsi="宋体" w:eastAsia="宋体" w:cs="宋体"/>
          <w:sz w:val="28"/>
          <w:szCs w:val="28"/>
          <w:lang w:val="en-US" w:eastAsia="zh-CN"/>
        </w:rPr>
      </w:pPr>
      <w:r>
        <w:rPr>
          <w:rFonts w:hint="eastAsia" w:ascii="宋体" w:hAnsi="宋体" w:eastAsia="宋体" w:cs="宋体"/>
          <w:b/>
          <w:bCs/>
          <w:sz w:val="28"/>
          <w:szCs w:val="28"/>
          <w:lang w:val="en-US" w:eastAsia="zh-CN"/>
        </w:rPr>
        <w:t>人员转移及安置</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20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水库下游转移地点：水库下游无人员转移</w:t>
      </w:r>
    </w:p>
    <w:p>
      <w:pPr>
        <w:numPr>
          <w:ilvl w:val="0"/>
          <w:numId w:val="1"/>
        </w:numPr>
        <w:spacing w:line="360" w:lineRule="auto"/>
        <w:ind w:left="0" w:leftChars="0" w:firstLine="562" w:firstLineChars="200"/>
        <w:jc w:val="both"/>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附图和附表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7.1附图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图一：水库地理位置示意图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图二：水库枢纽平面布置图</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7.2附表</w:t>
      </w:r>
    </w:p>
    <w:p>
      <w:pPr>
        <w:keepNext w:val="0"/>
        <w:keepLines w:val="0"/>
        <w:pageBreakBefore w:val="0"/>
        <w:widowControl w:val="0"/>
        <w:numPr>
          <w:ilvl w:val="0"/>
          <w:numId w:val="0"/>
        </w:numPr>
        <w:kinsoku/>
        <w:wordWrap/>
        <w:overflowPunct/>
        <w:topLinePunct w:val="0"/>
        <w:autoSpaceDE/>
        <w:autoSpaceDN/>
        <w:bidi w:val="0"/>
        <w:adjustRightInd/>
        <w:snapToGrid/>
        <w:spacing w:line="360" w:lineRule="auto"/>
        <w:ind w:leftChars="0" w:firstLine="560" w:firstLineChars="200"/>
        <w:textAlignment w:val="auto"/>
        <w:rPr>
          <w:rFonts w:hint="eastAsia" w:ascii="宋体" w:hAnsi="宋体" w:eastAsia="宋体" w:cs="宋体"/>
          <w:sz w:val="28"/>
          <w:szCs w:val="28"/>
          <w:lang w:val="en-US" w:eastAsia="zh-CN"/>
        </w:rPr>
      </w:pPr>
      <w:r>
        <w:rPr>
          <w:rFonts w:hint="eastAsia" w:ascii="宋体" w:hAnsi="宋体" w:eastAsia="宋体" w:cs="宋体"/>
          <w:sz w:val="28"/>
          <w:szCs w:val="28"/>
          <w:lang w:val="en-US" w:eastAsia="zh-CN"/>
        </w:rPr>
        <w:t>水库防洪抢险应急预案简表</w:t>
      </w:r>
    </w:p>
    <w:p/>
    <w:p/>
    <w:p/>
    <w:p/>
    <w:p/>
    <w:p/>
    <w:p>
      <w:pPr>
        <w:spacing w:line="360" w:lineRule="auto"/>
        <w:ind w:firstLine="880" w:firstLineChars="200"/>
        <w:jc w:val="both"/>
      </w:pPr>
      <w:r>
        <w:rPr>
          <w:rFonts w:hint="eastAsia" w:ascii="华文中宋" w:hAnsi="华文中宋" w:eastAsia="华文中宋"/>
          <w:sz w:val="44"/>
          <w:szCs w:val="44"/>
          <w:lang w:eastAsia="zh-CN"/>
        </w:rPr>
        <w:drawing>
          <wp:anchor distT="0" distB="0" distL="114300" distR="114300" simplePos="0" relativeHeight="251659264" behindDoc="0" locked="0" layoutInCell="1" allowOverlap="1">
            <wp:simplePos x="0" y="0"/>
            <wp:positionH relativeFrom="column">
              <wp:posOffset>-211455</wp:posOffset>
            </wp:positionH>
            <wp:positionV relativeFrom="paragraph">
              <wp:posOffset>12065</wp:posOffset>
            </wp:positionV>
            <wp:extent cx="5756275" cy="3908425"/>
            <wp:effectExtent l="0" t="0" r="0" b="0"/>
            <wp:wrapNone/>
            <wp:docPr id="8" name="图片 8" descr="叶家坞"/>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叶家坞"/>
                    <pic:cNvPicPr>
                      <a:picLocks noChangeAspect="1"/>
                    </pic:cNvPicPr>
                  </pic:nvPicPr>
                  <pic:blipFill>
                    <a:blip r:embed="rId4"/>
                    <a:srcRect b="52294"/>
                    <a:stretch>
                      <a:fillRect/>
                    </a:stretch>
                  </pic:blipFill>
                  <pic:spPr>
                    <a:xfrm>
                      <a:off x="0" y="0"/>
                      <a:ext cx="5756275" cy="3908425"/>
                    </a:xfrm>
                    <a:prstGeom prst="rect">
                      <a:avLst/>
                    </a:prstGeom>
                  </pic:spPr>
                </pic:pic>
              </a:graphicData>
            </a:graphic>
          </wp:anchor>
        </w:drawing>
      </w:r>
    </w:p>
    <w:p/>
    <w:p/>
    <w:p/>
    <w:p/>
    <w:p/>
    <w:p/>
    <w:p/>
    <w:p/>
    <w:p/>
    <w:p/>
    <w:p/>
    <w:p/>
    <w:p/>
    <w:p/>
    <w:p/>
    <w:p/>
    <w:p/>
    <w:p/>
    <w:p/>
    <w:p>
      <w:pPr>
        <w:tabs>
          <w:tab w:val="left" w:pos="3394"/>
          <w:tab w:val="center" w:pos="4212"/>
        </w:tabs>
        <w:jc w:val="left"/>
        <w:rPr>
          <w:rFonts w:hint="eastAsia" w:ascii="宋体" w:hAnsi="宋体" w:eastAsia="宋体" w:cs="宋体"/>
          <w:b/>
          <w:bCs/>
          <w:sz w:val="28"/>
          <w:szCs w:val="28"/>
          <w:lang w:val="en-US" w:eastAsia="zh-CN"/>
        </w:rPr>
      </w:pPr>
      <w:r>
        <w:rPr>
          <w:rFonts w:hint="eastAsia" w:ascii="宋体" w:hAnsi="宋体" w:eastAsia="宋体" w:cs="宋体"/>
          <w:b/>
          <w:bCs/>
          <w:sz w:val="28"/>
          <w:szCs w:val="28"/>
          <w:lang w:val="en-US" w:eastAsia="zh-CN"/>
        </w:rPr>
        <w:tab/>
      </w:r>
      <w:r>
        <w:rPr>
          <w:rFonts w:hint="eastAsia" w:ascii="宋体" w:hAnsi="宋体" w:eastAsia="宋体" w:cs="宋体"/>
          <w:b/>
          <w:bCs/>
          <w:sz w:val="28"/>
          <w:szCs w:val="28"/>
          <w:lang w:val="en-US" w:eastAsia="zh-CN"/>
        </w:rPr>
        <w:t>图一</w:t>
      </w:r>
    </w:p>
    <w:p>
      <w:r>
        <w:rPr>
          <w:rFonts w:hint="eastAsia" w:eastAsiaTheme="minorEastAsia"/>
          <w:lang w:eastAsia="zh-CN"/>
        </w:rPr>
        <w:drawing>
          <wp:anchor distT="0" distB="0" distL="114300" distR="114300" simplePos="0" relativeHeight="251660288" behindDoc="0" locked="0" layoutInCell="1" allowOverlap="1">
            <wp:simplePos x="0" y="0"/>
            <wp:positionH relativeFrom="column">
              <wp:posOffset>381000</wp:posOffset>
            </wp:positionH>
            <wp:positionV relativeFrom="paragraph">
              <wp:posOffset>117475</wp:posOffset>
            </wp:positionV>
            <wp:extent cx="4147820" cy="3073400"/>
            <wp:effectExtent l="0" t="0" r="0" b="0"/>
            <wp:wrapNone/>
            <wp:docPr id="1" name="图片 1" descr="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5"/>
                    <pic:cNvPicPr>
                      <a:picLocks noChangeAspect="1"/>
                    </pic:cNvPicPr>
                  </pic:nvPicPr>
                  <pic:blipFill>
                    <a:blip r:embed="rId5"/>
                    <a:srcRect t="11285" b="28763"/>
                    <a:stretch>
                      <a:fillRect/>
                    </a:stretch>
                  </pic:blipFill>
                  <pic:spPr>
                    <a:xfrm>
                      <a:off x="0" y="0"/>
                      <a:ext cx="4147820" cy="3073400"/>
                    </a:xfrm>
                    <a:prstGeom prst="rect">
                      <a:avLst/>
                    </a:prstGeom>
                  </pic:spPr>
                </pic:pic>
              </a:graphicData>
            </a:graphic>
          </wp:anchor>
        </w:drawing>
      </w:r>
    </w:p>
    <w:p/>
    <w:p/>
    <w:p/>
    <w:p/>
    <w:p/>
    <w:p/>
    <w:p/>
    <w:p/>
    <w:p/>
    <w:p>
      <w:pPr>
        <w:rPr>
          <w:rFonts w:hint="eastAsia" w:eastAsiaTheme="minorEastAsia"/>
          <w:lang w:eastAsia="zh-CN"/>
        </w:rPr>
      </w:pPr>
    </w:p>
    <w:p/>
    <w:p/>
    <w:p/>
    <w:p/>
    <w:p/>
    <w:p/>
    <w:p>
      <w:pPr>
        <w:jc w:val="center"/>
        <w:rPr>
          <w:rFonts w:hint="eastAsia"/>
          <w:b/>
          <w:bCs/>
          <w:sz w:val="28"/>
          <w:szCs w:val="36"/>
          <w:lang w:val="en-US" w:eastAsia="zh-CN"/>
        </w:rPr>
      </w:pPr>
      <w:r>
        <w:rPr>
          <w:rFonts w:hint="eastAsia"/>
          <w:b/>
          <w:bCs/>
          <w:sz w:val="28"/>
          <w:szCs w:val="36"/>
          <w:lang w:val="en-US" w:eastAsia="zh-CN"/>
        </w:rPr>
        <w:t>图二</w:t>
      </w:r>
    </w:p>
    <w:p/>
    <w:p>
      <w:pPr>
        <w:sectPr>
          <w:pgSz w:w="11906" w:h="16838"/>
          <w:pgMar w:top="1440" w:right="1800" w:bottom="1440" w:left="1800" w:header="851" w:footer="992" w:gutter="0"/>
          <w:cols w:space="425" w:num="1"/>
          <w:docGrid w:type="lines" w:linePitch="312" w:charSpace="0"/>
        </w:sectPr>
      </w:pPr>
      <w:bookmarkStart w:id="0" w:name="_GoBack"/>
      <w:bookmarkEnd w:id="0"/>
    </w:p>
    <w:tbl>
      <w:tblPr>
        <w:tblStyle w:val="2"/>
        <w:tblW w:w="15560" w:type="dxa"/>
        <w:tblInd w:w="0" w:type="dxa"/>
        <w:tblLayout w:type="autofit"/>
        <w:tblCellMar>
          <w:top w:w="0" w:type="dxa"/>
          <w:left w:w="108" w:type="dxa"/>
          <w:bottom w:w="0" w:type="dxa"/>
          <w:right w:w="108" w:type="dxa"/>
        </w:tblCellMar>
      </w:tblPr>
      <w:tblGrid>
        <w:gridCol w:w="587"/>
        <w:gridCol w:w="518"/>
        <w:gridCol w:w="787"/>
        <w:gridCol w:w="786"/>
        <w:gridCol w:w="837"/>
        <w:gridCol w:w="506"/>
        <w:gridCol w:w="506"/>
        <w:gridCol w:w="528"/>
        <w:gridCol w:w="562"/>
        <w:gridCol w:w="348"/>
        <w:gridCol w:w="330"/>
        <w:gridCol w:w="632"/>
        <w:gridCol w:w="2339"/>
        <w:gridCol w:w="888"/>
        <w:gridCol w:w="901"/>
        <w:gridCol w:w="1119"/>
        <w:gridCol w:w="837"/>
        <w:gridCol w:w="726"/>
        <w:gridCol w:w="586"/>
        <w:gridCol w:w="606"/>
        <w:gridCol w:w="631"/>
      </w:tblGrid>
      <w:tr>
        <w:tblPrEx>
          <w:tblCellMar>
            <w:top w:w="0" w:type="dxa"/>
            <w:left w:w="108" w:type="dxa"/>
            <w:bottom w:w="0" w:type="dxa"/>
            <w:right w:w="108" w:type="dxa"/>
          </w:tblCellMar>
        </w:tblPrEx>
        <w:trPr>
          <w:trHeight w:val="472"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right="-105" w:rightChars="-50"/>
              <w:jc w:val="center"/>
              <w:rPr>
                <w:rFonts w:hint="eastAsia" w:ascii="仿宋" w:hAnsi="仿宋" w:eastAsia="仿宋" w:cs="仿宋"/>
                <w:b/>
                <w:bCs/>
                <w:color w:val="auto"/>
                <w:kern w:val="0"/>
                <w:sz w:val="28"/>
                <w:szCs w:val="28"/>
              </w:rPr>
            </w:pPr>
            <w:r>
              <w:rPr>
                <w:rFonts w:hint="eastAsia" w:ascii="仿宋" w:hAnsi="仿宋" w:eastAsia="仿宋" w:cs="仿宋"/>
                <w:b/>
                <w:bCs/>
                <w:color w:val="auto"/>
                <w:kern w:val="0"/>
                <w:sz w:val="28"/>
                <w:szCs w:val="28"/>
                <w:u w:val="single"/>
              </w:rPr>
              <w:t xml:space="preserve"> 浮梁县202</w:t>
            </w:r>
            <w:r>
              <w:rPr>
                <w:rFonts w:hint="eastAsia" w:ascii="仿宋" w:hAnsi="仿宋" w:eastAsia="仿宋" w:cs="仿宋"/>
                <w:b/>
                <w:bCs/>
                <w:color w:val="auto"/>
                <w:kern w:val="0"/>
                <w:sz w:val="28"/>
                <w:szCs w:val="28"/>
                <w:u w:val="single"/>
                <w:lang w:val="en-US" w:eastAsia="zh-CN"/>
              </w:rPr>
              <w:t>4</w:t>
            </w:r>
            <w:r>
              <w:rPr>
                <w:rFonts w:hint="eastAsia" w:ascii="仿宋" w:hAnsi="仿宋" w:eastAsia="仿宋" w:cs="仿宋"/>
                <w:b/>
                <w:bCs/>
                <w:color w:val="auto"/>
                <w:kern w:val="0"/>
                <w:sz w:val="28"/>
                <w:szCs w:val="28"/>
                <w:u w:val="single"/>
              </w:rPr>
              <w:t xml:space="preserve">年  叶家坞  </w:t>
            </w:r>
            <w:r>
              <w:rPr>
                <w:rFonts w:hint="eastAsia" w:ascii="仿宋" w:hAnsi="仿宋" w:eastAsia="仿宋" w:cs="仿宋"/>
                <w:b/>
                <w:bCs/>
                <w:color w:val="auto"/>
                <w:kern w:val="0"/>
                <w:sz w:val="28"/>
                <w:szCs w:val="28"/>
              </w:rPr>
              <w:t>水库度汛方案简表(调度运用方案）</w:t>
            </w:r>
          </w:p>
        </w:tc>
      </w:tr>
      <w:tr>
        <w:tblPrEx>
          <w:tblCellMar>
            <w:top w:w="0" w:type="dxa"/>
            <w:left w:w="108" w:type="dxa"/>
            <w:bottom w:w="0" w:type="dxa"/>
            <w:right w:w="108" w:type="dxa"/>
          </w:tblCellMar>
        </w:tblPrEx>
        <w:trPr>
          <w:trHeight w:val="374" w:hRule="atLeast"/>
        </w:trPr>
        <w:tc>
          <w:tcPr>
            <w:tcW w:w="0" w:type="auto"/>
            <w:gridSpan w:val="21"/>
            <w:tcBorders>
              <w:top w:val="nil"/>
              <w:left w:val="nil"/>
              <w:bottom w:val="nil"/>
              <w:right w:val="nil"/>
            </w:tcBorders>
            <w:shd w:val="clear" w:color="auto" w:fill="auto"/>
            <w:noWrap w:val="0"/>
            <w:vAlign w:val="center"/>
          </w:tcPr>
          <w:p>
            <w:pPr>
              <w:widowControl/>
              <w:spacing w:line="280" w:lineRule="exact"/>
              <w:ind w:left="-105" w:leftChars="-50" w:right="-105" w:rightChars="-50"/>
              <w:jc w:val="left"/>
              <w:rPr>
                <w:rFonts w:ascii="仿宋_GB2312" w:hAnsi="宋体"/>
                <w:b w:val="0"/>
                <w:bCs w:val="0"/>
                <w:color w:val="auto"/>
                <w:kern w:val="0"/>
                <w:sz w:val="21"/>
                <w:szCs w:val="21"/>
              </w:rPr>
            </w:pPr>
            <w:r>
              <w:rPr>
                <w:rFonts w:hint="eastAsia" w:ascii="仿宋_GB2312" w:hAnsi="仿宋_GB2312" w:eastAsia="仿宋_GB2312" w:cs="仿宋_GB2312"/>
                <w:b w:val="0"/>
                <w:bCs w:val="0"/>
                <w:color w:val="auto"/>
                <w:kern w:val="0"/>
                <w:sz w:val="21"/>
                <w:szCs w:val="21"/>
              </w:rPr>
              <w:t xml:space="preserve"> 所在县（市、区）：浮梁县       位置：浮梁镇茶培村       所在流域及水系： 昌江支流        高程系统：黄海高程</w:t>
            </w:r>
          </w:p>
        </w:tc>
      </w:tr>
      <w:tr>
        <w:tblPrEx>
          <w:tblCellMar>
            <w:top w:w="0" w:type="dxa"/>
            <w:left w:w="108" w:type="dxa"/>
            <w:bottom w:w="0" w:type="dxa"/>
            <w:right w:w="108" w:type="dxa"/>
          </w:tblCellMar>
        </w:tblPrEx>
        <w:trPr>
          <w:trHeight w:val="231" w:hRule="atLeast"/>
        </w:trPr>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集水面积</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(平方公里)</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gridSpan w:val="3"/>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大   坝</w:t>
            </w:r>
          </w:p>
        </w:tc>
        <w:tc>
          <w:tcPr>
            <w:tcW w:w="0" w:type="auto"/>
            <w:vMerge w:val="restart"/>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总</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库</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洪水标准</w:t>
            </w:r>
          </w:p>
        </w:tc>
        <w:tc>
          <w:tcPr>
            <w:tcW w:w="4535" w:type="dxa"/>
            <w:gridSpan w:val="6"/>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现有防洪安全标准</w:t>
            </w:r>
          </w:p>
        </w:tc>
        <w:tc>
          <w:tcPr>
            <w:tcW w:w="1789"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历史最高洪水</w:t>
            </w:r>
          </w:p>
        </w:tc>
        <w:tc>
          <w:tcPr>
            <w:tcW w:w="3307" w:type="dxa"/>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汛期控制运用指标</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蓄  水</w:t>
            </w:r>
          </w:p>
        </w:tc>
      </w:tr>
      <w:tr>
        <w:tblPrEx>
          <w:tblCellMar>
            <w:top w:w="0" w:type="dxa"/>
            <w:left w:w="108" w:type="dxa"/>
            <w:bottom w:w="0" w:type="dxa"/>
            <w:right w:w="108" w:type="dxa"/>
          </w:tblCellMar>
        </w:tblPrEx>
        <w:trPr>
          <w:trHeight w:val="674"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坝型</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最大</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坝高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坝顶</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高程</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 xml:space="preserve">设计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校核</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频率</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洪峰</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gridSpan w:val="2"/>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洪量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(万立米/天数)</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最高</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洪水位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2044" w:type="dxa"/>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最大下</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泄流量</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(秒立米)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888"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时间</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（年月日）</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901" w:type="dxa"/>
            <w:vMerge w:val="restart"/>
            <w:tcBorders>
              <w:top w:val="nil"/>
              <w:left w:val="nil"/>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最高水位（米）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1956" w:type="dxa"/>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主汛期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(4月1日～6月30日)</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后汛期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(7月1日～9月30日)</w:t>
            </w: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正常</w:t>
            </w:r>
          </w:p>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高水位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vMerge w:val="restart"/>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r>
      <w:tr>
        <w:tblPrEx>
          <w:tblCellMar>
            <w:top w:w="0" w:type="dxa"/>
            <w:left w:w="108" w:type="dxa"/>
            <w:bottom w:w="0" w:type="dxa"/>
            <w:right w:w="108" w:type="dxa"/>
          </w:tblCellMar>
        </w:tblPrEx>
        <w:trPr>
          <w:trHeight w:val="895" w:hRule="atLeast"/>
        </w:trPr>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single" w:color="auto" w:sz="4" w:space="0"/>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2"/>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2044"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888"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901" w:type="dxa"/>
            <w:vMerge w:val="continue"/>
            <w:tcBorders>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1119" w:type="dxa"/>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限制水位</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（米）</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相应库容</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(万立米)</w:t>
            </w: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vMerge w:val="continue"/>
            <w:tcBorders>
              <w:top w:val="nil"/>
              <w:left w:val="single" w:color="auto" w:sz="4" w:space="0"/>
              <w:bottom w:val="single" w:color="auto" w:sz="4" w:space="0"/>
              <w:right w:val="single" w:color="auto" w:sz="4" w:space="0"/>
            </w:tcBorders>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r>
      <w:tr>
        <w:tblPrEx>
          <w:tblCellMar>
            <w:top w:w="0" w:type="dxa"/>
            <w:left w:w="108" w:type="dxa"/>
            <w:bottom w:w="0" w:type="dxa"/>
            <w:right w:w="108" w:type="dxa"/>
          </w:tblCellMar>
        </w:tblPrEx>
        <w:trPr>
          <w:trHeight w:val="526" w:hRule="atLeast"/>
        </w:trPr>
        <w:tc>
          <w:tcPr>
            <w:tcW w:w="0" w:type="auto"/>
            <w:tcBorders>
              <w:top w:val="single" w:color="auto" w:sz="4" w:space="0"/>
              <w:left w:val="single" w:color="auto" w:sz="4" w:space="0"/>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0.46</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斜墙坝</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14</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71.6</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13.42</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0.5</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13.9</w:t>
            </w:r>
          </w:p>
        </w:tc>
        <w:tc>
          <w:tcPr>
            <w:tcW w:w="0" w:type="auto"/>
            <w:gridSpan w:val="2"/>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32.6</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70.54</w:t>
            </w:r>
          </w:p>
        </w:tc>
        <w:tc>
          <w:tcPr>
            <w:tcW w:w="2044"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6.9</w:t>
            </w:r>
          </w:p>
        </w:tc>
        <w:tc>
          <w:tcPr>
            <w:tcW w:w="888"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18"/>
                <w:szCs w:val="18"/>
              </w:rPr>
              <w:t>1998年6月26日</w:t>
            </w:r>
          </w:p>
        </w:tc>
        <w:tc>
          <w:tcPr>
            <w:tcW w:w="901"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70.39</w:t>
            </w:r>
          </w:p>
        </w:tc>
        <w:tc>
          <w:tcPr>
            <w:tcW w:w="1119" w:type="dxa"/>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69.4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12.8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69.4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12.8</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69.4</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12.8</w:t>
            </w:r>
          </w:p>
        </w:tc>
      </w:tr>
      <w:tr>
        <w:tblPrEx>
          <w:tblCellMar>
            <w:top w:w="0" w:type="dxa"/>
            <w:left w:w="108" w:type="dxa"/>
            <w:bottom w:w="0" w:type="dxa"/>
            <w:right w:w="108" w:type="dxa"/>
          </w:tblCellMar>
        </w:tblPrEx>
        <w:trPr>
          <w:trHeight w:val="2224" w:hRule="atLeast"/>
        </w:trPr>
        <w:tc>
          <w:tcPr>
            <w:tcW w:w="0" w:type="auto"/>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安</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全</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度</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汛</w:t>
            </w:r>
          </w:p>
        </w:tc>
        <w:tc>
          <w:tcPr>
            <w:tcW w:w="0" w:type="auto"/>
            <w:gridSpan w:val="4"/>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right="105" w:rightChars="50"/>
              <w:jc w:val="left"/>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 xml:space="preserve">     库区站网布设及观测手段</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雨量站1个，其中遥测站1个；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水位站1个，其中遥测站1个；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水文站0个，其中遥测站0个。</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预   报</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预报精度：无                             级  别：</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预见期：</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手算，电算：</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操作单位：</w:t>
            </w:r>
          </w:p>
        </w:tc>
        <w:tc>
          <w:tcPr>
            <w:tcW w:w="7326" w:type="dxa"/>
            <w:gridSpan w:val="10"/>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 xml:space="preserve">                   </w:t>
            </w: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洪        水         调        度       方       式</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标准      控泄条件      下泄流量       保护对象      调度权限</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br w:type="textWrapping"/>
            </w:r>
            <w:r>
              <w:rPr>
                <w:rFonts w:hint="eastAsia" w:ascii="仿宋_GB2312" w:hAnsi="仿宋_GB2312" w:eastAsia="仿宋_GB2312" w:cs="仿宋_GB2312"/>
                <w:color w:val="auto"/>
                <w:kern w:val="0"/>
                <w:sz w:val="20"/>
                <w:szCs w:val="20"/>
              </w:rPr>
              <w:t xml:space="preserve"> 5%       自由泄流       4.14      村庄、道路和农田  乡镇防指</w:t>
            </w: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 xml:space="preserve">0.5%      自由泄流       6.9       村庄、道路和农田  乡镇防指     </w:t>
            </w:r>
          </w:p>
        </w:tc>
        <w:tc>
          <w:tcPr>
            <w:tcW w:w="4550" w:type="dxa"/>
            <w:gridSpan w:val="6"/>
            <w:tcBorders>
              <w:top w:val="single" w:color="auto" w:sz="4" w:space="0"/>
              <w:left w:val="nil"/>
              <w:bottom w:val="single" w:color="auto" w:sz="4" w:space="0"/>
              <w:right w:val="single" w:color="auto" w:sz="4" w:space="0"/>
            </w:tcBorders>
            <w:shd w:val="clear" w:color="auto" w:fill="auto"/>
            <w:noWrap w:val="0"/>
            <w:vAlign w:val="top"/>
          </w:tcPr>
          <w:p>
            <w:pPr>
              <w:widowControl/>
              <w:adjustRightInd w:val="0"/>
              <w:snapToGrid w:val="0"/>
              <w:spacing w:line="240" w:lineRule="exact"/>
              <w:jc w:val="left"/>
              <w:rPr>
                <w:rFonts w:hint="eastAsia" w:ascii="仿宋_GB2312" w:hAnsi="仿宋_GB2312" w:eastAsia="仿宋_GB2312" w:cs="仿宋_GB2312"/>
                <w:color w:val="auto"/>
                <w:kern w:val="0"/>
                <w:sz w:val="20"/>
                <w:szCs w:val="20"/>
              </w:rPr>
            </w:pPr>
          </w:p>
          <w:p>
            <w:pPr>
              <w:widowControl/>
              <w:adjustRightInd w:val="0"/>
              <w:snapToGrid w:val="0"/>
              <w:spacing w:line="240" w:lineRule="exact"/>
              <w:jc w:val="left"/>
              <w:rPr>
                <w:rFonts w:hint="eastAsia" w:ascii="仿宋_GB2312" w:hAnsi="仿宋_GB2312" w:eastAsia="仿宋_GB2312" w:cs="仿宋_GB2312"/>
                <w:color w:val="auto"/>
                <w:kern w:val="0"/>
                <w:sz w:val="20"/>
                <w:szCs w:val="20"/>
              </w:rPr>
            </w:pPr>
            <w:r>
              <w:rPr>
                <w:rFonts w:hint="eastAsia" w:ascii="仿宋_GB2312" w:hAnsi="仿宋_GB2312" w:eastAsia="仿宋_GB2312" w:cs="仿宋_GB2312"/>
                <w:color w:val="auto"/>
                <w:kern w:val="0"/>
                <w:sz w:val="20"/>
                <w:szCs w:val="20"/>
              </w:rPr>
              <w:t>防御超标准洪水措施：</w:t>
            </w:r>
          </w:p>
          <w:p>
            <w:pPr>
              <w:widowControl/>
              <w:adjustRightInd w:val="0"/>
              <w:snapToGrid w:val="0"/>
              <w:spacing w:line="240" w:lineRule="exact"/>
              <w:ind w:firstLine="400" w:firstLineChars="200"/>
              <w:jc w:val="left"/>
              <w:rPr>
                <w:rFonts w:hint="eastAsia" w:ascii="仿宋_GB2312" w:hAnsi="仿宋_GB2312" w:eastAsia="仿宋_GB2312" w:cs="仿宋_GB2312"/>
                <w:color w:val="auto"/>
                <w:kern w:val="0"/>
                <w:sz w:val="20"/>
                <w:szCs w:val="20"/>
                <w:lang w:val="en-US" w:eastAsia="zh-CN" w:bidi="ar-SA"/>
              </w:rPr>
            </w:pPr>
            <w:r>
              <w:rPr>
                <w:rFonts w:hint="eastAsia" w:ascii="仿宋_GB2312" w:hAnsi="仿宋_GB2312" w:eastAsia="仿宋_GB2312" w:cs="仿宋_GB2312"/>
                <w:color w:val="auto"/>
                <w:kern w:val="0"/>
                <w:sz w:val="20"/>
                <w:szCs w:val="20"/>
              </w:rPr>
              <w:t>当水库上游流域内发生超标准洪水时，水库以保坝为原则，采取果断措施，排泄库内洪水，使洪水不漫坝，确保大坝安全。同时及时向县防汛指挥机构汇报，通知有关部门及时组织抢险队伍，按照防洪预案的具体要求，进行工程抢险及人员财产转移工作。当遇紧急情况时，及时发出紧急警报信号，同时，通过广播、电话等新闻媒体播送紧急通知，此时，防汛进入紧急状态。</w:t>
            </w:r>
          </w:p>
        </w:tc>
      </w:tr>
      <w:tr>
        <w:tblPrEx>
          <w:tblCellMar>
            <w:top w:w="0" w:type="dxa"/>
            <w:left w:w="108" w:type="dxa"/>
            <w:bottom w:w="0" w:type="dxa"/>
            <w:right w:w="108" w:type="dxa"/>
          </w:tblCellMar>
        </w:tblPrEx>
        <w:trPr>
          <w:trHeight w:val="410" w:hRule="atLeast"/>
        </w:trPr>
        <w:tc>
          <w:tcPr>
            <w:tcW w:w="0" w:type="auto"/>
            <w:vMerge w:val="restart"/>
            <w:tcBorders>
              <w:top w:val="nil"/>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主</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要</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项</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目</w:t>
            </w:r>
          </w:p>
        </w:tc>
        <w:tc>
          <w:tcPr>
            <w:tcW w:w="0" w:type="auto"/>
            <w:gridSpan w:val="4"/>
            <w:vMerge w:val="restart"/>
            <w:tcBorders>
              <w:top w:val="single" w:color="auto" w:sz="4" w:space="0"/>
              <w:left w:val="single" w:color="auto" w:sz="4" w:space="0"/>
              <w:right w:val="single" w:color="auto" w:sz="4" w:space="0"/>
            </w:tcBorders>
            <w:shd w:val="clear" w:color="auto" w:fill="auto"/>
            <w:noWrap w:val="0"/>
            <w:vAlign w:val="top"/>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 xml:space="preserve">  </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 xml:space="preserve">  影响工程安全的质量问题及处置措施：</w:t>
            </w: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lang w:eastAsia="zh-CN"/>
              </w:rPr>
              <w:t>大坝清杂</w:t>
            </w: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lang w:eastAsia="zh-CN"/>
              </w:rPr>
              <w:t>打捞库内枯枝</w:t>
            </w: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lang w:eastAsia="zh-CN"/>
              </w:rPr>
              <w:t>控制水位</w:t>
            </w: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lang w:eastAsia="zh-CN"/>
              </w:rPr>
            </w:pPr>
          </w:p>
        </w:tc>
        <w:tc>
          <w:tcPr>
            <w:tcW w:w="0" w:type="auto"/>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 xml:space="preserve"> 工程内、外交通状况：</w:t>
            </w:r>
            <w:r>
              <w:rPr>
                <w:rFonts w:hint="eastAsia" w:ascii="仿宋_GB2312" w:hAnsi="仿宋_GB2312" w:eastAsia="仿宋_GB2312" w:cs="仿宋_GB2312"/>
                <w:b w:val="0"/>
                <w:bCs w:val="0"/>
                <w:color w:val="auto"/>
                <w:kern w:val="0"/>
                <w:sz w:val="21"/>
                <w:szCs w:val="21"/>
                <w:lang w:eastAsia="zh-CN"/>
              </w:rPr>
              <w:t>良好</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 xml:space="preserve"> </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 xml:space="preserve"> 通讯状况：</w:t>
            </w:r>
            <w:r>
              <w:rPr>
                <w:rFonts w:hint="eastAsia" w:ascii="仿宋_GB2312" w:hAnsi="仿宋_GB2312" w:eastAsia="仿宋_GB2312" w:cs="仿宋_GB2312"/>
                <w:b w:val="0"/>
                <w:bCs w:val="0"/>
                <w:color w:val="auto"/>
                <w:kern w:val="0"/>
                <w:sz w:val="21"/>
                <w:szCs w:val="21"/>
                <w:lang w:eastAsia="zh-CN"/>
              </w:rPr>
              <w:t>好</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 xml:space="preserve"> 通电状况：</w:t>
            </w:r>
            <w:r>
              <w:rPr>
                <w:rFonts w:hint="eastAsia" w:ascii="仿宋_GB2312" w:hAnsi="仿宋_GB2312" w:eastAsia="仿宋_GB2312" w:cs="仿宋_GB2312"/>
                <w:b w:val="0"/>
                <w:bCs w:val="0"/>
                <w:color w:val="auto"/>
                <w:kern w:val="0"/>
                <w:sz w:val="21"/>
                <w:szCs w:val="21"/>
                <w:lang w:eastAsia="zh-CN"/>
              </w:rPr>
              <w:t>好</w:t>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 xml:space="preserve"> </w:t>
            </w:r>
          </w:p>
        </w:tc>
        <w:tc>
          <w:tcPr>
            <w:tcW w:w="4823" w:type="dxa"/>
            <w:gridSpan w:val="5"/>
            <w:vMerge w:val="restart"/>
            <w:tcBorders>
              <w:top w:val="single" w:color="auto" w:sz="4" w:space="0"/>
              <w:left w:val="single" w:color="auto" w:sz="4" w:space="0"/>
              <w:right w:val="single" w:color="000000" w:sz="4" w:space="0"/>
            </w:tcBorders>
            <w:shd w:val="clear" w:color="auto" w:fill="auto"/>
            <w:noWrap w:val="0"/>
            <w:vAlign w:val="center"/>
          </w:tcPr>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备用电源：</w:t>
            </w:r>
            <w:r>
              <w:rPr>
                <w:rFonts w:hint="eastAsia" w:ascii="仿宋_GB2312" w:hAnsi="仿宋_GB2312" w:eastAsia="仿宋_GB2312" w:cs="仿宋_GB2312"/>
                <w:b w:val="0"/>
                <w:bCs w:val="0"/>
                <w:color w:val="auto"/>
                <w:kern w:val="0"/>
                <w:sz w:val="21"/>
                <w:szCs w:val="21"/>
                <w:lang w:eastAsia="zh-CN"/>
              </w:rPr>
              <w:t>无</w:t>
            </w:r>
          </w:p>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p>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安置位置：</w:t>
            </w:r>
          </w:p>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电源类别：</w:t>
            </w:r>
          </w:p>
          <w:p>
            <w:pPr>
              <w:widowControl/>
              <w:adjustRightInd w:val="0"/>
              <w:snapToGrid w:val="0"/>
              <w:spacing w:line="240" w:lineRule="exact"/>
              <w:jc w:val="left"/>
              <w:rPr>
                <w:rFonts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功    率：</w:t>
            </w:r>
          </w:p>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泄洪设施要求的启动功率：</w:t>
            </w:r>
          </w:p>
          <w:p>
            <w:pPr>
              <w:widowControl/>
              <w:adjustRightInd w:val="0"/>
              <w:snapToGrid w:val="0"/>
              <w:spacing w:line="240" w:lineRule="exact"/>
              <w:jc w:val="left"/>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br w:type="textWrapping"/>
            </w:r>
            <w:r>
              <w:rPr>
                <w:rFonts w:hint="eastAsia" w:ascii="仿宋_GB2312" w:hAnsi="仿宋_GB2312" w:eastAsia="仿宋_GB2312" w:cs="仿宋_GB2312"/>
                <w:b w:val="0"/>
                <w:bCs w:val="0"/>
                <w:color w:val="auto"/>
                <w:kern w:val="0"/>
                <w:sz w:val="21"/>
                <w:szCs w:val="21"/>
              </w:rPr>
              <w:t>水库备用电源的启动功率：</w:t>
            </w:r>
          </w:p>
        </w:tc>
        <w:tc>
          <w:tcPr>
            <w:tcW w:w="1119"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行政责任人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电话</w:t>
            </w:r>
          </w:p>
        </w:tc>
      </w:tr>
      <w:tr>
        <w:tblPrEx>
          <w:tblCellMar>
            <w:top w:w="0" w:type="dxa"/>
            <w:left w:w="108" w:type="dxa"/>
            <w:bottom w:w="0" w:type="dxa"/>
            <w:right w:w="108" w:type="dxa"/>
          </w:tblCellMar>
        </w:tblPrEx>
        <w:trPr>
          <w:trHeight w:val="526"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continue"/>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lang w:eastAsia="zh-CN"/>
              </w:rPr>
              <w:t>任爱民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镇党委副书记、镇长</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13707982523</w:t>
            </w:r>
          </w:p>
        </w:tc>
      </w:tr>
      <w:tr>
        <w:tblPrEx>
          <w:tblCellMar>
            <w:top w:w="0" w:type="dxa"/>
            <w:left w:w="108" w:type="dxa"/>
            <w:bottom w:w="0" w:type="dxa"/>
            <w:right w:w="108" w:type="dxa"/>
          </w:tblCellMar>
        </w:tblPrEx>
        <w:trPr>
          <w:trHeight w:val="4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restart"/>
            <w:tcBorders>
              <w:top w:val="nil"/>
              <w:left w:val="single" w:color="auto" w:sz="4" w:space="0"/>
              <w:bottom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主管责任人</w:t>
            </w: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电话</w:t>
            </w:r>
          </w:p>
        </w:tc>
      </w:tr>
      <w:tr>
        <w:tblPrEx>
          <w:tblCellMar>
            <w:top w:w="0" w:type="dxa"/>
            <w:left w:w="108" w:type="dxa"/>
            <w:bottom w:w="0" w:type="dxa"/>
            <w:right w:w="108" w:type="dxa"/>
          </w:tblCellMar>
        </w:tblPrEx>
        <w:trPr>
          <w:trHeight w:val="526"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continue"/>
            <w:tcBorders>
              <w:top w:val="nil"/>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tcBorders>
              <w:top w:val="nil"/>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lang w:eastAsia="zh-CN"/>
              </w:rPr>
              <w:t>黄杰权</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浮梁镇</w:t>
            </w:r>
            <w:r>
              <w:rPr>
                <w:rFonts w:hint="eastAsia" w:ascii="仿宋_GB2312" w:hAnsi="仿宋_GB2312" w:eastAsia="仿宋_GB2312" w:cs="仿宋_GB2312"/>
                <w:b w:val="0"/>
                <w:bCs w:val="0"/>
                <w:color w:val="auto"/>
                <w:kern w:val="0"/>
                <w:sz w:val="21"/>
                <w:szCs w:val="21"/>
                <w:lang w:eastAsia="zh-CN"/>
              </w:rPr>
              <w:t>党委委员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15807086793</w:t>
            </w:r>
          </w:p>
        </w:tc>
      </w:tr>
      <w:tr>
        <w:tblPrEx>
          <w:tblCellMar>
            <w:top w:w="0" w:type="dxa"/>
            <w:left w:w="108" w:type="dxa"/>
            <w:bottom w:w="0" w:type="dxa"/>
            <w:right w:w="108" w:type="dxa"/>
          </w:tblCellMar>
        </w:tblPrEx>
        <w:trPr>
          <w:trHeight w:val="4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管理责任人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电话</w:t>
            </w:r>
          </w:p>
        </w:tc>
      </w:tr>
      <w:tr>
        <w:tblPrEx>
          <w:tblCellMar>
            <w:top w:w="0" w:type="dxa"/>
            <w:left w:w="108" w:type="dxa"/>
            <w:bottom w:w="0" w:type="dxa"/>
            <w:right w:w="108" w:type="dxa"/>
          </w:tblCellMar>
        </w:tblPrEx>
        <w:trPr>
          <w:trHeight w:val="4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周发强</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茶培村书记</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rPr>
              <w:t>13479839929</w:t>
            </w:r>
          </w:p>
        </w:tc>
      </w:tr>
      <w:tr>
        <w:tblPrEx>
          <w:tblCellMar>
            <w:top w:w="0" w:type="dxa"/>
            <w:left w:w="108" w:type="dxa"/>
            <w:bottom w:w="0" w:type="dxa"/>
            <w:right w:w="108" w:type="dxa"/>
          </w:tblCellMar>
        </w:tblPrEx>
        <w:trPr>
          <w:trHeight w:val="410"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restart"/>
            <w:tcBorders>
              <w:top w:val="single" w:color="auto" w:sz="4" w:space="0"/>
              <w:left w:val="single" w:color="000000"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技术责任人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姓名</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单位及职务</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rPr>
            </w:pPr>
            <w:r>
              <w:rPr>
                <w:rFonts w:hint="eastAsia" w:ascii="仿宋_GB2312" w:hAnsi="仿宋_GB2312" w:eastAsia="仿宋_GB2312" w:cs="仿宋_GB2312"/>
                <w:b w:val="0"/>
                <w:bCs w:val="0"/>
                <w:color w:val="auto"/>
                <w:kern w:val="0"/>
                <w:sz w:val="21"/>
                <w:szCs w:val="21"/>
              </w:rPr>
              <w:t>电话</w:t>
            </w:r>
          </w:p>
        </w:tc>
      </w:tr>
      <w:tr>
        <w:tblPrEx>
          <w:tblCellMar>
            <w:top w:w="0" w:type="dxa"/>
            <w:left w:w="108" w:type="dxa"/>
            <w:bottom w:w="0" w:type="dxa"/>
            <w:right w:w="108" w:type="dxa"/>
          </w:tblCellMar>
        </w:tblPrEx>
        <w:trPr>
          <w:trHeight w:val="526" w:hRule="atLeast"/>
        </w:trPr>
        <w:tc>
          <w:tcPr>
            <w:tcW w:w="0" w:type="auto"/>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vMerge w:val="continue"/>
            <w:tcBorders>
              <w:left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vMerge w:val="continue"/>
            <w:tcBorders>
              <w:left w:val="single" w:color="auto"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vMerge w:val="continue"/>
            <w:tcBorders>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rPr>
            </w:pP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余顺发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eastAsia="zh-CN"/>
              </w:rPr>
            </w:pPr>
            <w:r>
              <w:rPr>
                <w:rFonts w:hint="eastAsia" w:ascii="仿宋_GB2312" w:hAnsi="仿宋_GB2312" w:eastAsia="仿宋_GB2312" w:cs="仿宋_GB2312"/>
                <w:b w:val="0"/>
                <w:bCs w:val="0"/>
                <w:color w:val="auto"/>
                <w:kern w:val="0"/>
                <w:sz w:val="21"/>
                <w:szCs w:val="21"/>
              </w:rPr>
              <w:t>农业农村办主任</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rPr>
              <w:t>13407988565</w:t>
            </w:r>
          </w:p>
        </w:tc>
      </w:tr>
      <w:tr>
        <w:tblPrEx>
          <w:tblCellMar>
            <w:top w:w="0" w:type="dxa"/>
            <w:left w:w="108" w:type="dxa"/>
            <w:bottom w:w="0" w:type="dxa"/>
            <w:right w:w="108" w:type="dxa"/>
          </w:tblCellMar>
        </w:tblPrEx>
        <w:trPr>
          <w:trHeight w:val="437" w:hRule="atLeast"/>
        </w:trPr>
        <w:tc>
          <w:tcPr>
            <w:tcW w:w="0" w:type="auto"/>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4"/>
            <w:tcBorders>
              <w:left w:val="single" w:color="auto"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0" w:type="auto"/>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4823" w:type="dxa"/>
            <w:gridSpan w:val="5"/>
            <w:tcBorders>
              <w:left w:val="single" w:color="auto" w:sz="4" w:space="0"/>
              <w:bottom w:val="single" w:color="000000" w:sz="4" w:space="0"/>
              <w:right w:val="single" w:color="000000" w:sz="4" w:space="0"/>
            </w:tcBorders>
            <w:shd w:val="clear" w:color="auto" w:fill="auto"/>
            <w:noWrap w:val="0"/>
            <w:vAlign w:val="center"/>
          </w:tcPr>
          <w:p>
            <w:pPr>
              <w:widowControl/>
              <w:adjustRightInd w:val="0"/>
              <w:snapToGrid w:val="0"/>
              <w:spacing w:line="240" w:lineRule="exact"/>
              <w:ind w:left="-105" w:leftChars="-50" w:right="-105" w:rightChars="-50"/>
              <w:jc w:val="left"/>
              <w:rPr>
                <w:rFonts w:hint="eastAsia" w:ascii="仿宋_GB2312" w:hAnsi="仿宋_GB2312" w:eastAsia="仿宋_GB2312" w:cs="仿宋_GB2312"/>
                <w:b w:val="0"/>
                <w:bCs w:val="0"/>
                <w:color w:val="auto"/>
                <w:kern w:val="0"/>
                <w:sz w:val="21"/>
                <w:szCs w:val="21"/>
              </w:rPr>
            </w:pPr>
          </w:p>
        </w:tc>
        <w:tc>
          <w:tcPr>
            <w:tcW w:w="1119" w:type="dxa"/>
            <w:tcBorders>
              <w:top w:val="single" w:color="auto" w:sz="4" w:space="0"/>
              <w:left w:val="single" w:color="000000" w:sz="4" w:space="0"/>
              <w:bottom w:val="single" w:color="auto" w:sz="4" w:space="0"/>
              <w:right w:val="single" w:color="auto" w:sz="4" w:space="0"/>
            </w:tcBorders>
            <w:shd w:val="clear" w:color="auto" w:fill="auto"/>
            <w:noWrap w:val="0"/>
            <w:vAlign w:val="center"/>
          </w:tcPr>
          <w:p>
            <w:pPr>
              <w:widowControl/>
              <w:adjustRightInd w:val="0"/>
              <w:snapToGrid w:val="0"/>
              <w:spacing w:line="24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巡查责任人</w:t>
            </w:r>
          </w:p>
        </w:tc>
        <w:tc>
          <w:tcPr>
            <w:tcW w:w="0" w:type="auto"/>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许世金</w:t>
            </w:r>
          </w:p>
        </w:tc>
        <w:tc>
          <w:tcPr>
            <w:tcW w:w="0" w:type="auto"/>
            <w:gridSpan w:val="2"/>
            <w:tcBorders>
              <w:top w:val="single" w:color="auto" w:sz="4" w:space="0"/>
              <w:left w:val="nil"/>
              <w:bottom w:val="single" w:color="auto" w:sz="4" w:space="0"/>
              <w:right w:val="single" w:color="auto" w:sz="4" w:space="0"/>
            </w:tcBorders>
            <w:shd w:val="clear" w:color="auto" w:fill="auto"/>
            <w:noWrap w:val="0"/>
            <w:vAlign w:val="center"/>
          </w:tcPr>
          <w:p>
            <w:pPr>
              <w:widowControl/>
              <w:spacing w:line="280" w:lineRule="exact"/>
              <w:ind w:left="-105" w:leftChars="-50" w:right="-105" w:rightChars="-50"/>
              <w:jc w:val="center"/>
              <w:rPr>
                <w:rFonts w:hint="eastAsia"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巡查员</w:t>
            </w:r>
          </w:p>
        </w:tc>
        <w:tc>
          <w:tcPr>
            <w:tcW w:w="0" w:type="auto"/>
            <w:gridSpan w:val="2"/>
            <w:tcBorders>
              <w:top w:val="single" w:color="auto" w:sz="4" w:space="0"/>
              <w:left w:val="nil"/>
              <w:bottom w:val="single" w:color="auto" w:sz="4" w:space="0"/>
              <w:right w:val="single" w:color="auto" w:sz="4" w:space="0"/>
            </w:tcBorders>
            <w:shd w:val="clear" w:color="auto" w:fill="auto"/>
            <w:noWrap/>
            <w:vAlign w:val="center"/>
          </w:tcPr>
          <w:p>
            <w:pPr>
              <w:widowControl/>
              <w:spacing w:line="280" w:lineRule="exact"/>
              <w:ind w:left="-105" w:leftChars="-50" w:right="-105" w:rightChars="-50"/>
              <w:jc w:val="center"/>
              <w:rPr>
                <w:rFonts w:hint="default" w:ascii="仿宋_GB2312" w:hAnsi="仿宋_GB2312" w:eastAsia="仿宋_GB2312" w:cs="仿宋_GB2312"/>
                <w:b w:val="0"/>
                <w:bCs w:val="0"/>
                <w:color w:val="auto"/>
                <w:kern w:val="0"/>
                <w:sz w:val="21"/>
                <w:szCs w:val="21"/>
                <w:lang w:val="en-US" w:eastAsia="zh-CN"/>
              </w:rPr>
            </w:pPr>
            <w:r>
              <w:rPr>
                <w:rFonts w:hint="eastAsia" w:ascii="仿宋_GB2312" w:hAnsi="仿宋_GB2312" w:eastAsia="仿宋_GB2312" w:cs="仿宋_GB2312"/>
                <w:b w:val="0"/>
                <w:bCs w:val="0"/>
                <w:color w:val="auto"/>
                <w:kern w:val="0"/>
                <w:sz w:val="21"/>
                <w:szCs w:val="21"/>
                <w:lang w:val="en-US" w:eastAsia="zh-CN"/>
              </w:rPr>
              <w:t>13576415073</w:t>
            </w:r>
          </w:p>
        </w:tc>
      </w:tr>
    </w:tbl>
    <w:p/>
    <w:sectPr>
      <w:pgSz w:w="16838" w:h="11906" w:orient="landscape"/>
      <w:pgMar w:top="720" w:right="720" w:bottom="720" w:left="72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panose1 w:val="02010609030101010101"/>
    <w:charset w:val="86"/>
    <w:family w:val="auto"/>
    <w:pitch w:val="default"/>
    <w:sig w:usb0="00000001" w:usb1="080E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华文中宋">
    <w:altName w:val="宋体"/>
    <w:panose1 w:val="02010600040101010101"/>
    <w:charset w:val="86"/>
    <w:family w:val="auto"/>
    <w:pitch w:val="default"/>
    <w:sig w:usb0="00000000" w:usb1="00000000" w:usb2="00000000" w:usb3="00000000" w:csb0="0004009F" w:csb1="DFD70000"/>
  </w:font>
  <w:font w:name="仿宋">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0EEC2B0"/>
    <w:multiLevelType w:val="singleLevel"/>
    <w:tmpl w:val="30EEC2B0"/>
    <w:lvl w:ilvl="0" w:tentative="0">
      <w:start w:val="1"/>
      <w:numFmt w:val="decimal"/>
      <w:lvlText w:val="%1."/>
      <w:lvlJc w:val="left"/>
      <w:pPr>
        <w:tabs>
          <w:tab w:val="left" w:pos="312"/>
        </w:tabs>
      </w:pPr>
    </w:lvl>
  </w:abstractNum>
  <w:abstractNum w:abstractNumId="1">
    <w:nsid w:val="677224D3"/>
    <w:multiLevelType w:val="singleLevel"/>
    <w:tmpl w:val="677224D3"/>
    <w:lvl w:ilvl="0" w:tentative="0">
      <w:start w:val="2"/>
      <w:numFmt w:val="decimal"/>
      <w:suff w:val="nothing"/>
      <w:lvlText w:val="%1、"/>
      <w:lvlJc w:val="left"/>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7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ODZlMzQ1MjVkNzNiNmJmMDk2Y2NhNDBiMWEyYzViMDUifQ=="/>
  </w:docVars>
  <w:rsids>
    <w:rsidRoot w:val="11A62C72"/>
    <w:rsid w:val="0E05748E"/>
    <w:rsid w:val="0F144432"/>
    <w:rsid w:val="11A62C72"/>
    <w:rsid w:val="14EB25C3"/>
    <w:rsid w:val="30CF3567"/>
    <w:rsid w:val="3D02046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autoRedefine/>
    <w:semiHidden/>
    <w:qFormat/>
    <w:uiPriority w:val="0"/>
  </w:style>
  <w:style w:type="table" w:default="1" w:styleId="2">
    <w:name w:val="Normal Table"/>
    <w:autoRedefin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numbering" Target="numbering.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2024-03-06T06:53:00Z</dcterms:created>
  <dc:creator>浮梁文印社 古月图文 二部</dc:creator>
  <cp:lastModifiedBy>浮梁县</cp:lastModifiedBy>
  <dcterms:modified xsi:type="dcterms:W3CDTF">2024-03-13T12:37:43Z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2052-12.1.0.16388</vt:lpwstr>
  </property>
  <property fmtid="{D5CDD505-2E9C-101B-9397-08002B2CF9AE}" pid="3" name="ICV">
    <vt:lpwstr>D73083FBD2444EAC9A71BAA50C04FAB9_11</vt:lpwstr>
  </property>
</Properties>
</file>